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20" w:line="276" w:lineRule="auto"/>
        <w:rPr>
          <w:b w:val="1"/>
        </w:rPr>
      </w:pPr>
      <w:bookmarkStart w:colFirst="0" w:colLast="0" w:name="_heading=h.8eqc31ltyoru" w:id="0"/>
      <w:bookmarkEnd w:id="0"/>
      <w:r w:rsidDel="00000000" w:rsidR="00000000" w:rsidRPr="00000000">
        <w:rPr>
          <w:rFonts w:ascii="Arial" w:cs="Arial" w:eastAsia="Arial" w:hAnsi="Arial"/>
          <w:b w:val="0"/>
          <w:sz w:val="32"/>
          <w:szCs w:val="32"/>
          <w:rtl w:val="0"/>
        </w:rPr>
        <w:t xml:space="preserve">Contact Tracing and Privacy Module 2: Pre-Class Quiz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True or False: If we are worried about keeping data private, we can just remove the individual’s name from the data, and that will ensure that their privacy is protected.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did private health information about the Governor of Massachusetts end up getting leaked to the general public?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His portion of the data wasn’t anonymized properly by the researchers who collected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hacker broke into the original (unanonymized) data set and extracted his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Even without his name, he could be identified by cross-referencing with other data sets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 of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True or False: Even if researchers checked their data set against all existing databases, they could not be sure whether or not future databases would enable the deanonymization of their data.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What is the principle of limited collection?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2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Collect data from a limited sample of the population, so that the fewest number of people have their private data put at risk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2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Limit the amount of data that is collected, so that there is less risk that the data set could be used to discover private information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2"/>
        </w:numPr>
        <w:spacing w:after="0" w:lineRule="auto"/>
        <w:ind w:left="1440" w:hanging="360"/>
        <w:rPr/>
      </w:pPr>
      <w:r w:rsidDel="00000000" w:rsidR="00000000" w:rsidRPr="00000000">
        <w:rPr>
          <w:rtl w:val="0"/>
        </w:rPr>
        <w:t xml:space="preserve">Limit the number of researchers who can access the data collected, so that the private information collected is not widely known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2"/>
        </w:numPr>
        <w:spacing w:after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none of the above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What is one question that the video has raised for you that you hope the in-class discussion will address?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Answer Key: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False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True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ind w:left="720" w:hanging="36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</w:t>
      </w:r>
    </w:p>
    <w:sectPr>
      <w:footerReference r:id="rId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after="240" w:before="240" w:line="276" w:lineRule="auto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Licensed by the XXXXXXXXXX under the Attribution-NonCommercial-ShareAlike 4.0 International license. To view a copy of this license, visit </w:t>
    </w:r>
    <w:hyperlink r:id="rId1">
      <w:r w:rsidDel="00000000" w:rsidR="00000000" w:rsidRPr="00000000">
        <w:rPr>
          <w:rFonts w:ascii="Arial" w:cs="Arial" w:eastAsia="Arial" w:hAnsi="Arial"/>
          <w:color w:val="1155cc"/>
          <w:sz w:val="18"/>
          <w:szCs w:val="18"/>
          <w:u w:val="single"/>
          <w:rtl w:val="0"/>
        </w:rPr>
        <w:t xml:space="preserve">https://creativecommons.org/licenses/by-nc-sa/4.0/</w:t>
      </w:r>
    </w:hyperlink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.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bbbJUxYN3GsfTQZJMeoH4ZiNg==">AMUW2mXngrk7yzbP8EhJA3BA0ORhAOKfGdVGZK23r9sbN2tWUo8xLMWigwwtNgAe6jvcAvcNvdeVbrK/ckCK64kAxCBAPFYPqICrNcJey9nGj0NBQJBloxLipWmazyQQ/zLE86vjkWsk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2021-03-12T17:13:00Z</dcterms:created>
  <dc:creator>Maryam Majedi</dc:creator>
</cp:coreProperties>
</file>